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1641</w:t>
        <w:t xml:space="preserve">.  </w:t>
      </w:r>
      <w:r>
        <w:rPr>
          <w:b/>
        </w:rPr>
        <w:t xml:space="preserve">Eligibility and admission to membership</w:t>
      </w:r>
    </w:p>
    <w:p>
      <w:pPr>
        <w:jc w:val="both"/>
        <w:spacing w:before="100" w:after="100"/>
        <w:ind w:start="360"/>
        <w:ind w:firstLine="360"/>
      </w:pPr>
      <w:r>
        <w:rPr/>
      </w:r>
      <w:r>
        <w:rPr/>
      </w:r>
      <w:r>
        <w:t xml:space="preserve">Any natural person, association, incorporated or unincorporated group organized on a cooperative basis or any nonprofit group shall be eligible for membership in an association, if it has met the qualifications for eligibility, if any, stated in the articles or bylaws and shall be deemed a member upon payment in full for the par value of the minimum amount of share or membership capital stated in the articles as necessary to qualify for membership.</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§1641. Eligibility and admission to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§1641. Eligibility and admission to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§1641. ELIGIBILITY AND ADMISSION TO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