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1505</w:t>
        <w:t xml:space="preserve">.  </w:t>
      </w:r>
      <w:r>
        <w:rPr>
          <w:b/>
        </w:rPr>
        <w:t xml:space="preserve">Taxation</w:t>
      </w:r>
    </w:p>
    <w:p>
      <w:pPr>
        <w:jc w:val="both"/>
        <w:spacing w:before="100" w:after="100"/>
        <w:ind w:start="360"/>
        <w:ind w:firstLine="360"/>
      </w:pPr>
      <w:r>
        <w:rPr/>
      </w:r>
      <w:r>
        <w:rPr/>
      </w:r>
      <w:r>
        <w:t xml:space="preserve">Associations formed under this subchapter and foreign corporations and associations admitted to do business in the State and entitled to the benefits of this subchapter shall pay the annual license fee required of other business corporations and foreign corporations.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§1505.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§1505.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§1505.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