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1440</w:t>
        <w:t xml:space="preserve">.  </w:t>
      </w:r>
      <w:r>
        <w:rPr>
          <w:b/>
        </w:rPr>
        <w:t xml:space="preserve">Deposit with Treasurer of State</w:t>
      </w:r>
    </w:p>
    <w:p>
      <w:pPr>
        <w:jc w:val="both"/>
        <w:spacing w:before="100" w:after="100"/>
        <w:ind w:start="360"/>
        <w:ind w:firstLine="360"/>
      </w:pPr>
      <w:r>
        <w:rPr/>
      </w:r>
      <w:r>
        <w:rPr/>
      </w:r>
      <w:r>
        <w:t xml:space="preserve">Assets of a dissolved corporation that should be transferred to a creditor, claimant or shareholder of the corporation who can not be found or who is not competent to receive the assets must be reduced to cash and deposited with the Treasurer of State or other appropriate state official for safekeeping in accordance with </w:t>
      </w:r>
      <w:r>
        <w:t>Title 33, chapter 45</w:t>
      </w:r>
      <w:r>
        <w:t xml:space="preserve">. When the creditor, claimant or shareholder furnishes satisfactory proof of entitlement to the amount deposited, the Treasurer of State or other appropriate state official shall pay the creditor, claimant or shareholder or that person's representative that amount.</w:t>
      </w:r>
      <w:r>
        <w:t xml:space="preserve">  </w:t>
      </w:r>
      <w:r xmlns:wp="http://schemas.openxmlformats.org/drawingml/2010/wordprocessingDrawing" xmlns:w15="http://schemas.microsoft.com/office/word/2012/wordml">
        <w:rPr>
          <w:rFonts w:ascii="Arial" w:hAnsi="Arial" w:cs="Arial"/>
          <w:sz w:val="22"/>
          <w:szCs w:val="22"/>
        </w:rPr>
        <w:t xml:space="preserve">[PL 2019, c. 498,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2019, c. 498,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§1440. Deposit with Treasurer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§1440. Deposit with Treasurer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§1440. DEPOSIT WITH TREASURER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