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6809</w:t>
        <w:t xml:space="preserve">.  </w:t>
      </w:r>
      <w:r>
        <w:rPr>
          <w:b/>
        </w:rPr>
        <w:t xml:space="preserve">Green Crab Management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Green Crab Management Fund, referred to in this section as the "fund," is established as a dedicated, nonlapsing fund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186, §1 (NEW).]</w:t>
      </w:r>
    </w:p>
    <w:p>
      <w:pPr>
        <w:jc w:val="both"/>
        <w:spacing w:before="100" w:after="0"/>
        <w:ind w:start="360"/>
        <w:ind w:firstLine="360"/>
      </w:pPr>
      <w:r>
        <w:rPr>
          <w:b/>
        </w:rPr>
        <w:t>2</w:t>
        <w:t xml:space="preserve">.  </w:t>
      </w:r>
      <w:r>
        <w:rPr>
          <w:b/>
        </w:rPr>
        <w:t xml:space="preserve">Purposes of fund.</w:t>
        <w:t xml:space="preserve"> </w:t>
      </w:r>
      <w:r>
        <w:t xml:space="preserve"> </w:t>
      </w:r>
      <w:r>
        <w:t xml:space="preserve">The commissioner shall use the fund for research and management programs for the green crab fishery.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186, §1 (NEW).]</w:t>
      </w:r>
    </w:p>
    <w:p>
      <w:pPr>
        <w:jc w:val="both"/>
        <w:spacing w:before="100" w:after="0"/>
        <w:ind w:start="360"/>
        <w:ind w:firstLine="360"/>
      </w:pPr>
      <w:r>
        <w:rPr>
          <w:b/>
        </w:rPr>
        <w:t>3</w:t>
        <w:t xml:space="preserve">.  </w:t>
      </w:r>
      <w:r>
        <w:rPr>
          <w:b/>
        </w:rPr>
        <w:t xml:space="preserve">Source of revenue.</w:t>
        <w:t xml:space="preserve"> </w:t>
      </w:r>
      <w:r>
        <w:t xml:space="preserve"> </w:t>
      </w:r>
      <w:r>
        <w:t xml:space="preserve">In addition to the fees derived from the commercial green crab license, the fund may receive money from any source for the purposes described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§6809. Green Crab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§6809. Green Crab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§6809. GREEN CRAB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