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9-1406</w:t>
        <w:t xml:space="preserve">.  </w:t>
      </w:r>
      <w:r>
        <w:rPr>
          <w:b/>
        </w:rPr>
        <w:t xml:space="preserve">Discharge of account debtor; notification of assignment; identification and proof of assignment; restrictions on assignment of accounts, chattel paper, payment intangibles, and promissory notes ineffective</w:t>
      </w:r>
    </w:p>
    <w:p>
      <w:pPr>
        <w:jc w:val="both"/>
        <w:spacing w:before="100" w:after="0"/>
        <w:ind w:start="360"/>
        <w:ind w:firstLine="360"/>
      </w:pPr>
      <w:r>
        <w:rPr>
          <w:b/>
        </w:rPr>
        <w:t>(1)</w:t>
        <w:t xml:space="preserve">.  </w:t>
      </w:r>
      <w:r>
        <w:rPr>
          <w:b/>
        </w:rPr>
      </w:r>
      <w:r>
        <w:t xml:space="preserve"> </w:t>
      </w:r>
      <w:r>
        <w:t xml:space="preserve">Subject to </w:t>
      </w:r>
      <w:r>
        <w:t>subsections (2)</w:t>
      </w:r>
      <w:r>
        <w:t xml:space="preserve"> to </w:t>
      </w:r>
      <w:r>
        <w:t>(10)</w:t>
      </w:r>
      <w:r>
        <w:t xml:space="preserve">, an account debtor on an account, chattel paper or a payment intangible may discharge its obligation by paying the assignor until, but not after, the account debtor receives a notification, signed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§137 (AMD); PL 2023, c. 669, Pt. E, §1 (AFF).]</w:t>
      </w:r>
    </w:p>
    <w:p>
      <w:pPr>
        <w:jc w:val="both"/>
        <w:spacing w:before="100" w:after="100"/>
        <w:ind w:start="360"/>
        <w:ind w:firstLine="360"/>
      </w:pPr>
      <w:r>
        <w:rPr>
          <w:b/>
        </w:rPr>
        <w:t>(2)</w:t>
        <w:t xml:space="preserve">.  </w:t>
      </w:r>
      <w:r>
        <w:rPr>
          <w:b/>
        </w:rPr>
      </w:r>
      <w:r>
        <w:t xml:space="preserve"> </w:t>
      </w:r>
      <w:r>
        <w:t xml:space="preserve">Subject to </w:t>
      </w:r>
      <w:r>
        <w:t>subsections (8)</w:t>
      </w:r>
      <w:r>
        <w:t xml:space="preserve"> and </w:t>
      </w:r>
      <w:r>
        <w:t>(10)</w:t>
      </w:r>
      <w:r>
        <w:t xml:space="preserve">, notification is ineffective under </w:t>
      </w:r>
      <w:r>
        <w:t>subsection (1)</w:t>
      </w:r>
      <w:r>
        <w:t xml:space="preserve">:</w:t>
      </w:r>
    </w:p>
    <w:p>
      <w:pPr>
        <w:jc w:val="both"/>
        <w:spacing w:before="100" w:after="0"/>
        <w:ind w:start="720"/>
      </w:pPr>
      <w:r>
        <w:rPr/>
        <w:t>(a)</w:t>
        <w:t xml:space="preserve">.  </w:t>
      </w:r>
      <w:r>
        <w:rPr/>
      </w:r>
      <w:r>
        <w:t xml:space="preserve">If it does not reasonably identify the rights assigned;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To the extent that an agreement between an account debtor and a seller of a payment intangible limits the account debtor's duty to pay a person other than the seller and the limitation is effective under law other than this Article;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At the option of an account debtor, if the notification notifies the account debtor to make less than the full amount of any installment or other periodic payment to the assignee, even if:</w:t>
      </w:r>
    </w:p>
    <w:p>
      <w:pPr>
        <w:jc w:val="both"/>
        <w:spacing w:before="100" w:after="0"/>
        <w:ind w:start="1080"/>
      </w:pPr>
      <w:r>
        <w:rPr/>
        <w:t>(</w:t>
        <w:t>i</w:t>
        <w:t xml:space="preserve">)  </w:t>
      </w:r>
      <w:r>
        <w:rPr/>
      </w:r>
      <w:r>
        <w:t xml:space="preserve">Only a portion of the account, chattel paper or payment intangible has been assigned to that assignee;</w:t>
      </w:r>
    </w:p>
    <w:p>
      <w:pPr>
        <w:jc w:val="both"/>
        <w:spacing w:before="100" w:after="0"/>
        <w:ind w:start="1080"/>
      </w:pPr>
      <w:r>
        <w:rPr/>
        <w:t>(</w:t>
        <w:t>ii</w:t>
        <w:t xml:space="preserve">)  </w:t>
      </w:r>
      <w:r>
        <w:rPr/>
      </w:r>
      <w:r>
        <w:t xml:space="preserve">A portion has been assigned to another assignee; or</w:t>
      </w:r>
    </w:p>
    <w:p>
      <w:pPr>
        <w:jc w:val="both"/>
        <w:spacing w:before="100" w:after="0"/>
        <w:ind w:start="1080"/>
      </w:pPr>
      <w:r>
        <w:rPr/>
        <w:t>(</w:t>
        <w:t>iii</w:t>
        <w:t xml:space="preserve">)  </w:t>
      </w:r>
      <w:r>
        <w:rPr/>
      </w:r>
      <w:r>
        <w:t xml:space="preserve">The account debtor knows that the assignment to that assignee is limited.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§137 (AMD); PL 2023, c. 669, Pt. E, §1 (AFF).]</w:t>
      </w:r>
    </w:p>
    <w:p>
      <w:pPr>
        <w:jc w:val="both"/>
        <w:spacing w:before="100" w:after="0"/>
        <w:ind w:start="360"/>
        <w:ind w:firstLine="360"/>
      </w:pPr>
      <w:r>
        <w:rPr>
          <w:b/>
        </w:rPr>
        <w:t>(3)</w:t>
        <w:t xml:space="preserve">.  </w:t>
      </w:r>
      <w:r>
        <w:rPr>
          <w:b/>
        </w:rPr>
      </w:r>
      <w:r>
        <w:t xml:space="preserve"> </w:t>
      </w:r>
      <w:r>
        <w:t xml:space="preserve">Subject to </w:t>
      </w:r>
      <w:r>
        <w:t>subsections (8)</w:t>
      </w:r>
      <w:r>
        <w:t xml:space="preserve"> and </w:t>
      </w:r>
      <w:r>
        <w:t>(10)</w:t>
      </w:r>
      <w:r>
        <w:t xml:space="preserve">,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§137 (AMD); PL 2023, c. 669, Pt. E, §1 (AFF).]</w:t>
      </w:r>
    </w:p>
    <w:p>
      <w:pPr>
        <w:jc w:val="both"/>
        <w:spacing w:before="100" w:after="100"/>
        <w:ind w:start="360"/>
        <w:ind w:firstLine="360"/>
      </w:pPr>
      <w:r>
        <w:rPr>
          <w:b/>
        </w:rPr>
        <w:t>(4)</w:t>
        <w:t xml:space="preserve">.  </w:t>
      </w:r>
      <w:r>
        <w:rPr>
          <w:b/>
        </w:rPr>
      </w:r>
      <w:r>
        <w:t xml:space="preserve"> </w:t>
      </w:r>
      <w:r>
        <w:t xml:space="preserve">Except as otherwise provided in </w:t>
      </w:r>
      <w:r>
        <w:t>subsection (5)</w:t>
      </w:r>
      <w:r>
        <w:t xml:space="preserve"> and </w:t>
      </w:r>
      <w:r>
        <w:t>sections 2‑1303</w:t>
      </w:r>
      <w:r>
        <w:t xml:space="preserve"> and </w:t>
      </w:r>
      <w:r>
        <w:t>9‑1407</w:t>
      </w:r>
      <w:r>
        <w:t xml:space="preserve">, and subject to </w:t>
      </w:r>
      <w:r>
        <w:t>subsection (8)</w:t>
      </w:r>
      <w:r>
        <w:t xml:space="preserve">, a term in an agreement between an account debtor and an assignor or in a promissory note is ineffective to the extent that it:</w:t>
      </w:r>
    </w:p>
    <w:p>
      <w:pPr>
        <w:jc w:val="both"/>
        <w:spacing w:before="100" w:after="0"/>
        <w:ind w:start="720"/>
      </w:pPr>
      <w:r>
        <w:rPr/>
        <w:t>(a)</w:t>
        <w:t xml:space="preserve">.  </w:t>
      </w:r>
      <w:r>
        <w:rPr/>
      </w:r>
      <w:r>
        <w:t xml:space="preserve">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pPr>
      <w:r>
        <w:rPr/>
      </w:r>
      <w:r>
        <w:rPr/>
      </w:r>
      <w:r>
        <w:t xml:space="preserve">For the purposes of this subsection, "promissory note" includes a negotiable instrument that evidences chattel paper.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§137 (AMD); PL 2023, c. 669, Pt. E, §1 (AFF).]</w:t>
      </w:r>
    </w:p>
    <w:p>
      <w:pPr>
        <w:jc w:val="both"/>
        <w:spacing w:before="100" w:after="0"/>
        <w:ind w:start="360"/>
        <w:ind w:firstLine="360"/>
      </w:pPr>
      <w:r>
        <w:rPr>
          <w:b/>
        </w:rPr>
        <w:t>(5)</w:t>
        <w:t xml:space="preserve">.  </w:t>
      </w:r>
      <w:r>
        <w:rPr>
          <w:b/>
        </w:rPr>
      </w:r>
      <w:r>
        <w:t xml:space="preserve"> </w:t>
      </w:r>
      <w:r>
        <w:t>Subsection (4)</w:t>
      </w:r>
      <w:r>
        <w:t xml:space="preserve"> does not apply to the sale of a payment intangible or promissory note other than a sale pursuant to a disposition under </w:t>
      </w:r>
      <w:r>
        <w:t>section 9‑1610</w:t>
      </w:r>
      <w:r>
        <w:t xml:space="preserve"> or an acceptance of collateral under </w:t>
      </w:r>
      <w:r>
        <w:t>section 9‑1620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§18 (AMD).]</w:t>
      </w:r>
    </w:p>
    <w:p>
      <w:pPr>
        <w:jc w:val="both"/>
        <w:spacing w:before="100" w:after="100"/>
        <w:ind w:start="360"/>
        <w:ind w:firstLine="360"/>
      </w:pPr>
      <w:r>
        <w:rPr>
          <w:b/>
        </w:rPr>
        <w:t>(6)</w:t>
        <w:t xml:space="preserve">.  </w:t>
      </w:r>
      <w:r>
        <w:rPr>
          <w:b/>
        </w:rPr>
      </w:r>
      <w:r>
        <w:t xml:space="preserve"> </w:t>
      </w:r>
      <w:r>
        <w:t xml:space="preserve">Except as otherwise provided in </w:t>
      </w:r>
      <w:r>
        <w:t>sections 2‑1303</w:t>
      </w:r>
      <w:r>
        <w:t xml:space="preserve"> and </w:t>
      </w:r>
      <w:r>
        <w:t>9‑1407</w:t>
      </w:r>
      <w:r>
        <w:t xml:space="preserve"> and subject to </w:t>
      </w:r>
      <w:r>
        <w:t>subsections (8)</w:t>
      </w:r>
      <w:r>
        <w:t xml:space="preserve"> and </w:t>
      </w:r>
      <w:r>
        <w:t>(9)</w:t>
      </w:r>
      <w:r>
        <w:t xml:space="preserve">,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w:t>
      </w:r>
    </w:p>
    <w:p>
      <w:pPr>
        <w:jc w:val="both"/>
        <w:spacing w:before="100" w:after="0"/>
        <w:ind w:start="720"/>
      </w:pPr>
      <w:r>
        <w:rPr/>
        <w:t>(a)</w:t>
        <w:t xml:space="preserve">.  </w:t>
      </w:r>
      <w:r>
        <w:rPr/>
      </w:r>
      <w:r>
        <w:t xml:space="preserve">Prohibits, restricts or requires the consent of the government, governmental body or official, or account debtor to the assignment or transfer of, or the creation, attachment, perfection or enforcement of a security interest in the account or chattel paper;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Provides that the assignment or transfer or the creation, attachment, perfection or enforcement of the security interest may give rise to a default, breach, right of recoupment, claim, defense, termination, right of termination or remedy under the account or chattel paper.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(7)</w:t>
        <w:t xml:space="preserve">.  </w:t>
      </w:r>
      <w:r>
        <w:rPr>
          <w:b/>
        </w:rPr>
      </w:r>
      <w:r>
        <w:t xml:space="preserve"> </w:t>
      </w:r>
      <w:r>
        <w:t xml:space="preserve">Subject to </w:t>
      </w:r>
      <w:r>
        <w:t>subsections (8)</w:t>
      </w:r>
      <w:r>
        <w:t xml:space="preserve"> and </w:t>
      </w:r>
      <w:r>
        <w:t>(10)</w:t>
      </w:r>
      <w:r>
        <w:t xml:space="preserve">, an account debtor may not waive or vary its option under </w:t>
      </w:r>
      <w:r>
        <w:t>subsection (2), paragraph (c)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§137 (AMD); PL 2023, c. 669, Pt. E, §1 (AFF).]</w:t>
      </w:r>
    </w:p>
    <w:p>
      <w:pPr>
        <w:jc w:val="both"/>
        <w:spacing w:before="100" w:after="0"/>
        <w:ind w:start="360"/>
        <w:ind w:firstLine="360"/>
      </w:pPr>
      <w:r>
        <w:rPr>
          <w:b/>
        </w:rPr>
        <w:t>(8)</w:t>
        <w:t xml:space="preserve">.  </w:t>
      </w:r>
      <w:r>
        <w:rPr>
          <w:b/>
        </w:rPr>
      </w:r>
      <w:r>
        <w:t xml:space="preserve"> </w:t>
      </w:r>
      <w:r>
        <w:t xml:space="preserve">This section is subject to law other than this Article that establishes a different rule for an account debtor who is an individual and who incurred the obligation primarily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(9)</w:t>
        <w:t xml:space="preserve">.  </w:t>
      </w:r>
      <w:r>
        <w:rPr>
          <w:b/>
        </w:rPr>
      </w:r>
      <w:r>
        <w:t xml:space="preserve"> </w:t>
      </w:r>
      <w:r>
        <w:t xml:space="preserve">This section does not apply to an assignment of a health-care-insurance receivable.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(10)</w:t>
        <w:t xml:space="preserve">.  </w:t>
      </w:r>
      <w:r>
        <w:rPr>
          <w:b/>
        </w:rPr>
      </w:r>
      <w:r>
        <w:t xml:space="preserve"> </w:t>
      </w:r>
      <w:r>
        <w:t>Subsections (1)</w:t>
      </w:r>
      <w:r>
        <w:t xml:space="preserve">, </w:t>
      </w:r>
      <w:r>
        <w:t>(2)</w:t>
      </w:r>
      <w:r>
        <w:t xml:space="preserve">, </w:t>
      </w:r>
      <w:r>
        <w:t>(3)</w:t>
      </w:r>
      <w:r>
        <w:t xml:space="preserve"> and </w:t>
      </w:r>
      <w:r>
        <w:t>(7)</w:t>
      </w:r>
      <w:r>
        <w:t xml:space="preserve"> do not apply to a controllable account or controllable payment intangible.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§137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2013, c. 317, Pt. A, §18 (AMD). PL 2023, c. 669, Pt. A, §137 (AMD). PL 2023, c. 669, Pt. E,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§9-1406. Discharge of account debtor; notification of assignment; identification and proof of assignment; restrictions on assignment of accounts, chattel paper, payment intangibles, and promissory notes ineffective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§9-1406. Discharge of account debtor; notification of assignment; identification and proof of assignment; restrictions on assignment of accounts, chattel paper, payment intangibles, and promissory notes ineffective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§9-1406. DISCHARGE OF ACCOUNT DEBTOR; NOTIFICATION OF ASSIGNMENT; IDENTIFICATION AND PROOF OF ASSIGNMENT; RESTRICTIONS ON ASSIGNMENT OF ACCOUNTS, CHATTEL PAPER, PAYMENT INTANGIBLES, AND PROMISSORY NOTES INEFFECTIVE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