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9-1337</w:t>
        <w:t xml:space="preserve">.  </w:t>
      </w:r>
      <w:r>
        <w:rPr>
          <w:b/>
        </w:rPr>
        <w:t xml:space="preserve">Priority of security interests in goods covered by certificate of title</w:t>
      </w:r>
    </w:p>
    <w:p>
      <w:pPr>
        <w:jc w:val="both"/>
        <w:spacing w:before="100" w:after="100"/>
        <w:ind w:start="360"/>
        <w:ind w:firstLine="360"/>
      </w:pPr>
      <w:r>
        <w:rPr/>
      </w:r>
      <w:r>
        <w:rPr/>
      </w:r>
      <w:r>
        <w:t xml:space="preserve">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ind w:firstLine="360"/>
      </w:pPr>
      <w:r>
        <w:rPr>
          <w:b/>
        </w:rPr>
        <w:t>(1)</w:t>
        <w:t xml:space="preserve">.  </w:t>
      </w:r>
      <w:r>
        <w:rPr>
          <w:b/>
        </w:rPr>
      </w:r>
      <w:r>
        <w:t xml:space="preserve"> </w:t>
      </w:r>
      <w:r>
        <w:t xml:space="preserve">A buyer of the goods, other than a person in the business of selling goods of that kind, takes free of the security interest if the buyer gives value and receives delivery of the goods after issuance of the certificate and without knowledge of the security interest;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The security interest is subordinate to a conflicting security interest in the goods that attaches, and is perfected under </w:t>
      </w:r>
      <w:r>
        <w:t>section 9‑1311, subsection (2)</w:t>
      </w:r>
      <w:r>
        <w:t xml:space="preserve">, after issuance of the certificate and without the conflicting secured party's knowledge of the security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§9-1337. Priority of security interests in goods covered by certificate of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§9-1337. Priority of security interests in goods covered by certificate of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§9-1337. PRIORITY OF SECURITY INTERESTS IN GOODS COVERED BY CERTIFICATE OF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