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9004</w:t>
        <w:t xml:space="preserve">.  </w:t>
      </w:r>
      <w:r>
        <w:rPr>
          <w:b/>
        </w:rPr>
        <w:t xml:space="preserve">Employees</w:t>
      </w:r>
    </w:p>
    <w:p>
      <w:pPr>
        <w:jc w:val="both"/>
        <w:spacing w:before="100" w:after="0"/>
        <w:ind w:start="360"/>
        <w:ind w:firstLine="360"/>
      </w:pPr>
      <w:r>
        <w:rPr>
          <w:b/>
        </w:rPr>
        <w:t>1</w:t>
        <w:t xml:space="preserve">.  </w:t>
      </w:r>
      <w:r>
        <w:rPr>
          <w:b/>
        </w:rPr>
        <w:t xml:space="preserve">Executive director.</w:t>
        <w:t xml:space="preserve"> </w:t>
      </w:r>
      <w:r>
        <w:t xml:space="preserve"> </w:t>
      </w:r>
      <w:r>
        <w:t xml:space="preserve">The Commissioner of Professional and Financial Regulation may appoint or remove for cause, with the advice of the board, an executive director who is the principal administrative and supervisory employee of the Department of Professional and Financial Regulation for the board. The executive director shall supervise the personnel employed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§2 (AMD).]</w:t>
      </w:r>
    </w:p>
    <w:p>
      <w:pPr>
        <w:jc w:val="both"/>
        <w:spacing w:before="100" w:after="0"/>
        <w:ind w:start="360"/>
        <w:ind w:firstLine="360"/>
      </w:pPr>
      <w:r>
        <w:rPr>
          <w:b/>
        </w:rPr>
        <w:t>2</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F,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1983, c. 553, §46 (AMD). PL 1985, c. 785, §B56 (AMD). PL 1987, c. 395, §A37 (AMD). PL 1993, c. 642, §11 (AMD). PL 1995, c. 502, §H13 (AMD). PL 1999, c. 687, §F2 (AMD). PL 2007, c. 402,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§9004.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§9004.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§9004.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