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4003</w:t>
        <w:t xml:space="preserve">.  </w:t>
      </w:r>
      <w:r>
        <w:rPr>
          <w:b/>
        </w:rPr>
        <w:t xml:space="preserve">Attachments have precedence; enforcement on death or insolvency</w:t>
      </w:r>
    </w:p>
    <w:p>
      <w:pPr>
        <w:jc w:val="both"/>
        <w:spacing w:before="100" w:after="100"/>
        <w:ind w:start="360"/>
        <w:ind w:firstLine="360"/>
      </w:pPr>
      <w:r>
        <w:rPr/>
      </w:r>
      <w:r>
        <w:rPr/>
      </w:r>
      <w:r>
        <w:t xml:space="preserve">Actions to enforce any of the liens before named have precedence over attachments and encumbrances made after the lien attached and not made to enforce a lien, and may be maintained although the employer or debtor is dead and the employer's or debtor's estate has been represented insolvent.  The employer's or debtor's executor or administrator may be summoned and held to answer to an action brought to enforce the lien.  The complaint must show that the action is brought to enforce the lien, but all the other forms and proceedings are the same as in other actions.</w:t>
      </w:r>
      <w:r>
        <w:t xml:space="preserve">  </w:t>
      </w:r>
      <w:r xmlns:wp="http://schemas.openxmlformats.org/drawingml/2010/wordprocessingDrawing" xmlns:w15="http://schemas.microsoft.com/office/word/2012/wordml">
        <w:rPr>
          <w:rFonts w:ascii="Arial" w:hAnsi="Arial" w:cs="Arial"/>
          <w:sz w:val="22"/>
          <w:szCs w:val="22"/>
        </w:rPr>
        <w:t xml:space="preserve">[RR 2023, c. 2, Pt. C, §102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§4003. Attachments have precedence; enforcement on death or insolvency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§4003. Attachments have precedence; enforcement on death or insolvency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§4003. ATTACHMENTS HAVE PRECEDENCE; ENFORCEMENT ON DEATH OR INSOLVENCY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