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384</w:t>
        <w:t xml:space="preserve">.  </w:t>
      </w:r>
      <w:r>
        <w:rPr>
          <w:b/>
        </w:rPr>
        <w:t xml:space="preserve">Board</w:t>
      </w:r>
    </w:p>
    <w:p>
      <w:pPr>
        <w:jc w:val="both"/>
        <w:spacing w:before="100" w:after="100"/>
        <w:ind w:start="360"/>
        <w:ind w:firstLine="360"/>
      </w:pPr>
      <w:r>
        <w:rPr>
          <w:b/>
        </w:rPr>
        <w:t>1</w:t>
        <w:t xml:space="preserve">.  </w:t>
      </w:r>
      <w:r>
        <w:rPr>
          <w:b/>
        </w:rPr>
        <w:t xml:space="preserve">Establishment; membership.</w:t>
        <w:t xml:space="preserve"> </w:t>
      </w:r>
      <w:r>
        <w:t xml:space="preserve"> </w:t>
      </w:r>
      <w:r>
        <w:t xml:space="preserve">There is established as a body corporate and politic and a public instrumentality of the State the Small Enterprise Growth Board, which consists of 11 members appointed by the Governor as follows:</w:t>
      </w:r>
    </w:p>
    <w:p>
      <w:pPr>
        <w:jc w:val="both"/>
        <w:spacing w:before="100" w:after="0"/>
        <w:ind w:start="720"/>
      </w:pPr>
      <w:r>
        <w:rPr/>
        <w:t>A</w:t>
        <w:t xml:space="preserve">.  </w:t>
      </w:r>
      <w:r>
        <w:rPr/>
      </w:r>
      <w:r>
        <w:t xml:space="preserve">An experienced commercial lender;</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B</w:t>
        <w:t xml:space="preserve">.  </w:t>
      </w:r>
      <w:r>
        <w:rPr/>
      </w:r>
      <w:r>
        <w:t xml:space="preserve">An attorney with knowledge of securities law;</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C</w:t>
        <w:t xml:space="preserve">.  </w:t>
      </w:r>
      <w:r>
        <w:rPr/>
      </w:r>
      <w:r>
        <w:t xml:space="preserve">Five members of the public who have knowledge and experience in managing or investing in high-growth small businesses;</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D</w:t>
        <w:t xml:space="preserve">.  </w:t>
      </w:r>
      <w:r>
        <w:rPr/>
      </w:r>
      <w:r>
        <w:t xml:space="preserve">Three members of the public who have knowledge and experience in the development of technological innovation; and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E</w:t>
        <w:t xml:space="preserve">.  </w:t>
      </w:r>
      <w:r>
        <w:rPr/>
      </w:r>
      <w:r>
        <w:t xml:space="preserve">The Commissioner of Economic and Community Development or the commissioner's designee, who shall serve as a voting ex officio member of the board.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§23 (AMD).]</w:t>
      </w:r>
    </w:p>
    <w:p>
      <w:pPr>
        <w:jc w:val="both"/>
        <w:spacing w:before="100" w:after="0"/>
        <w:ind w:start="360"/>
        <w:ind w:firstLine="360"/>
      </w:pPr>
      <w:r>
        <w:rPr>
          <w:b/>
        </w:rPr>
        <w:t>2</w:t>
        <w:t xml:space="preserve">.  </w:t>
      </w:r>
      <w:r>
        <w:rPr>
          <w:b/>
        </w:rPr>
        <w:t xml:space="preserve">Officers.</w:t>
        <w:t xml:space="preserve"> </w:t>
      </w:r>
      <w:r>
        <w:t xml:space="preserve"> </w:t>
      </w:r>
      <w:r>
        <w:t xml:space="preserve">The board shall annually elect a chair, vice-chair and treasurer from among its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502, §4 (AMD).]</w:t>
      </w:r>
    </w:p>
    <w:p>
      <w:pPr>
        <w:jc w:val="both"/>
        <w:spacing w:before="100" w:after="0"/>
        <w:ind w:start="360"/>
        <w:ind w:firstLine="360"/>
      </w:pPr>
      <w:r>
        <w:rPr>
          <w:b/>
        </w:rPr>
        <w:t>3</w:t>
        <w:t xml:space="preserve">.  </w:t>
      </w:r>
      <w:r>
        <w:rPr>
          <w:b/>
        </w:rPr>
        <w:t xml:space="preserve">Terms.</w:t>
        <w:t xml:space="preserve"> </w:t>
      </w:r>
      <w:r>
        <w:t xml:space="preserve"> </w:t>
      </w:r>
      <w:r>
        <w:t xml:space="preserve">The members other than the Commissioner of Economic and Community Development or the commissioner's designee serve for 3-year terms and may be reappointed for up to 2 consecutive terms.  A member may serve for more than 2 3-year terms if the terms are not consecutive.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502, §5 (AMD).]</w:t>
      </w:r>
    </w:p>
    <w:p>
      <w:pPr>
        <w:jc w:val="both"/>
        <w:spacing w:before="100" w:after="0"/>
        <w:ind w:start="360"/>
        <w:ind w:firstLine="360"/>
      </w:pPr>
      <w:r>
        <w:rPr>
          <w:b/>
        </w:rPr>
        <w:t>4</w:t>
        <w:t xml:space="preserve">.  </w:t>
      </w:r>
      <w:r>
        <w:rPr>
          <w:b/>
        </w:rPr>
        <w:t xml:space="preserve">Compensation.</w:t>
        <w:t xml:space="preserve"> </w:t>
      </w:r>
      <w:r>
        <w:t xml:space="preserve"> </w:t>
      </w:r>
      <w:r>
        <w:t xml:space="preserve">Members are entitled to compensation in accordance with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PL 1999, c. 504, §3 (AMD). PL 2005, c. 425, §23 (AMD). PL 2021, c. 502, §§4,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§384.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§384.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§384.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