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w:t>
        <w:t xml:space="preserve">.  </w:t>
      </w:r>
      <w:r>
        <w:rPr>
          <w:b/>
        </w:rPr>
        <w:t xml:space="preserve">Maine Aviation and Aerospace Education Week</w:t>
      </w:r>
    </w:p>
    <w:p>
      <w:pPr>
        <w:jc w:val="both"/>
        <w:spacing w:before="100" w:after="100"/>
        <w:ind w:start="360"/>
      </w:pPr>
      <w:r>
        <w:rPr>
          <w:b/>
        </w:rPr>
        <w:t>(REALLOCATED FROM TITLE 1, SECTION 146)</w:t>
      </w:r>
    </w:p>
    <w:p>
      <w:pPr>
        <w:jc w:val="both"/>
        <w:spacing w:before="100" w:after="100"/>
        <w:ind w:start="360"/>
        <w:ind w:firstLine="360"/>
      </w:pPr>
      <w:r>
        <w:rPr/>
      </w:r>
      <w:r>
        <w:rPr/>
      </w:r>
      <w:r>
        <w:t xml:space="preserve">The 3rd week in April is designated Maine Aviation and Aerospace Education Week.  The Department of Transportation, Office of Passenger Transportation shall participate in the planning of events for this week under the auspices of the Maine Aeronautics Association.</w:t>
      </w:r>
      <w:r>
        <w:t xml:space="preserve">  </w:t>
      </w:r>
      <w:r xmlns:wp="http://schemas.openxmlformats.org/drawingml/2010/wordprocessingDrawing" xmlns:w15="http://schemas.microsoft.com/office/word/2012/wordml">
        <w:rPr>
          <w:rFonts w:ascii="Arial" w:hAnsi="Arial" w:cs="Arial"/>
          <w:sz w:val="22"/>
          <w:szCs w:val="22"/>
        </w:rPr>
        <w:t xml:space="preserve">[RR 2003, c. 1, §1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§1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 Maine Aviation and Aerospace Education Week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 Maine Aviation and Aerospace Education Week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§147. MAINE AVIATION AND AEROSPACE EDUCATION WEEK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