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914</w:t>
        <w:t xml:space="preserve">.  </w:t>
      </w:r>
      <w:r>
        <w:rPr>
          <w:b/>
        </w:rPr>
        <w:t xml:space="preserve">Insurance of certificates of investment</w:t>
      </w:r>
    </w:p>
    <w:p>
      <w:pPr>
        <w:jc w:val="both"/>
        <w:spacing w:before="100" w:after="100"/>
        <w:ind w:start="360"/>
        <w:ind w:firstLine="360"/>
      </w:pPr>
      <w:r>
        <w:rPr/>
      </w:r>
      <w:r>
        <w:rPr/>
      </w:r>
      <w:r>
        <w:t xml:space="preserve">Every industrial bank shall comply with the requirements of </w:t>
      </w:r>
      <w:r>
        <w:t>section 422</w:t>
      </w:r>
      <w:r>
        <w:t xml:space="preserve">, relating to insurance of deposits, and shall be deemed a "financial institution" for purposes of that section.</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§914. Insurance of certificates of investment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§914. Insurance of certificates of investment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§914. INSURANCE OF CERTIFICATES OF INVESTMENT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