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Conversion: federal to State charter; out of state to State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§873. CONVERSION: FEDERAL TO STATE CHARTER; OUT OF STATE TO STATE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