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§427. Deposit or account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Deposit or account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§427. DEPOSIT OR ACCOUNT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