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w:t>
        <w:t xml:space="preserve">.  </w:t>
      </w:r>
      <w:r>
        <w:rPr>
          <w:b/>
        </w:rPr>
        <w:t xml:space="preserve">Notice to Federal authorities</w:t>
      </w:r>
    </w:p>
    <w:p>
      <w:pPr>
        <w:jc w:val="both"/>
        <w:spacing w:before="100" w:after="0"/>
        <w:ind w:start="360"/>
        <w:ind w:firstLine="360"/>
      </w:pPr>
      <w:r>
        <w:rPr>
          <w:b/>
        </w:rPr>
        <w:t>1</w:t>
        <w:t xml:space="preserve">.  </w:t>
      </w:r>
      <w:r>
        <w:rPr>
          <w:b/>
        </w:rPr>
        <w:t xml:space="preserve">Requirement.</w:t>
        <w:t xml:space="preserve"> </w:t>
      </w:r>
      <w:r>
        <w:t xml:space="preserve"> </w:t>
      </w:r>
      <w:r>
        <w:t xml:space="preserve">In connection with any proceeding under </w:t>
      </w:r>
      <w:r>
        <w:t>section 231</w:t>
      </w:r>
      <w:r>
        <w:t xml:space="preserve"> or </w:t>
      </w:r>
      <w:r>
        <w:t>232</w:t>
      </w:r>
      <w:r>
        <w:t xml:space="preserve"> involving a financial institution under the concurrent supervision of a federal agency and the bureau, the superintendent shall provide the appropriate federal agency with notice of any such proceeding and the grounds therefor. Such proceeding may then be continued jointly or by either the federal agency or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§4 (AMD).]</w:t>
      </w:r>
    </w:p>
    <w:p>
      <w:pPr>
        <w:jc w:val="both"/>
        <w:spacing w:before="100" w:after="0"/>
        <w:ind w:start="360"/>
        <w:ind w:firstLine="360"/>
      </w:pPr>
      <w:r>
        <w:rPr>
          <w:b/>
        </w:rPr>
        <w:t>2</w:t>
        <w:t xml:space="preserve">.  </w:t>
      </w:r>
      <w:r>
        <w:rPr>
          <w:b/>
        </w:rPr>
        <w:t xml:space="preserve">Failure to notify.</w:t>
        <w:t xml:space="preserve"> </w:t>
      </w:r>
      <w:r>
        <w:t xml:space="preserve"> </w:t>
      </w:r>
      <w:r>
        <w:t xml:space="preserve">Failure of the superintendent to give such notice shall not constitute a ground for attacking the validity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2007, c. 79,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 Notice to Federal authorities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 Notice to Federal authorities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§234. NOTICE TO FEDERAL AUTHORITIES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