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Enforcement by Superior Court</w:t>
      </w:r>
    </w:p>
    <w:p>
      <w:pPr>
        <w:jc w:val="both"/>
        <w:spacing w:before="100" w:after="100"/>
        <w:ind w:start="360"/>
        <w:ind w:firstLine="360"/>
      </w:pPr>
      <w:r>
        <w:rPr/>
      </w:r>
      <w:r>
        <w:rPr/>
      </w:r>
      <w:r>
        <w:t xml:space="preserve">Orders issued by the superintendent pursuant to </w:t>
      </w:r>
      <w:r>
        <w:t>sections 231</w:t>
      </w:r>
      <w:r>
        <w:t xml:space="preserve"> and </w:t>
      </w:r>
      <w:r>
        <w:t>232</w:t>
      </w:r>
      <w:r>
        <w:t xml:space="preserve"> shall be enforced by the Superior Court, subject to the following conditions and limitations: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Appeal of order.</w:t>
        <w:t xml:space="preserve"> </w:t>
      </w:r>
      <w:r>
        <w:t xml:space="preserve"> </w:t>
      </w:r>
      <w:r>
        <w:t xml:space="preserve">Any person aggrieved and directly affected by an order of the superintendent issued pursuant to </w:t>
      </w:r>
      <w:r>
        <w:t>sections 231</w:t>
      </w:r>
      <w:r>
        <w:t xml:space="preserve"> and </w:t>
      </w:r>
      <w:r>
        <w:t>232</w:t>
      </w:r>
      <w:r>
        <w:t xml:space="preserve"> shall be entitled to judicial review of the order pursuant to the Maine Administrative Procedure Act,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§157 (RPR).]</w:t>
      </w:r>
    </w:p>
    <w:p>
      <w:pPr>
        <w:jc w:val="both"/>
        <w:spacing w:before="100" w:after="0"/>
        <w:ind w:start="360"/>
        <w:ind w:firstLine="360"/>
      </w:pPr>
      <w:r>
        <w:rPr>
          <w:b/>
        </w:rPr>
        <w:t>2</w:t>
        <w:t xml:space="preserve">.  </w:t>
      </w:r>
      <w:r>
        <w:rPr>
          <w:b/>
        </w:rPr>
        <w:t xml:space="preserve">Limitation on liability.</w:t>
        <w:t xml:space="preserve"> </w:t>
      </w:r>
      <w:r>
        <w:t xml:space="preserve"> </w:t>
      </w:r>
      <w:r>
        <w:t xml:space="preserve">No person shall be subjected to any civil or criminal liability for any act or omission to act in good faith in reliance upon a subsisting order, regulation or definition of the superintendent, notwithstanding a subsequent decision by any court invalidating the order, regulation or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 Enforcement by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Enforcement by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§233. ENFORCEMENT BY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