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1216</w:t>
        <w:t xml:space="preserve">.  </w:t>
      </w:r>
      <w:r>
        <w:rPr>
          <w:b/>
        </w:rPr>
        <w:t xml:space="preserve">Rules</w:t>
      </w:r>
    </w:p>
    <w:p>
      <w:pPr>
        <w:jc w:val="both"/>
        <w:spacing w:before="100" w:after="100"/>
        <w:ind w:start="360"/>
        <w:ind w:firstLine="360"/>
      </w:pPr>
      <w:r>
        <w:rPr/>
      </w:r>
      <w:r>
        <w:rPr/>
      </w:r>
      <w:r>
        <w:t xml:space="preserve">The superintendent may prescribe rules governing the activities of nondepository trust companies and implementing this chapter.  These rules must take into account the general business purpose and nondepository nature of nondepository trust companies.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§1216.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§1216.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§1216.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