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8-206-E</w:t>
        <w:t xml:space="preserve">.  </w:t>
      </w:r>
      <w:r>
        <w:rPr>
          <w:b/>
        </w:rPr>
        <w:t xml:space="preserve">Special liability for violations of residential mortgage loan, higher-priced mortgage loan and high-rate, high-fee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§5 (COR). PL 2007, c. 273, Pt. A, §21 (NEW). PL 2007, c. 273, Pt. A, §§37, 41 (AFF). PL 2009, c. 362, Pt. A, §11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§8-206-E. Special liability for violations of residential mortgage loan, higher-priced mortgage loan and high-rate, high-fee mortgage loan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§8-206-E. Special liability for violations of residential mortgage loan, higher-priced mortgage loan and high-rate, high-fee mortgage loan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§8-206-E. SPECIAL LIABILITY FOR VIOLATIONS OF RESIDENTIAL MORTGAGE LOAN, HIGHER-PRICED MORTGAGE LOAN AND HIGH-RATE, HIGH-FEE MORTGAGE LOAN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