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Assurance of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Assurance of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§6-109. ASSURANCE OF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