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5-113</w:t>
        <w:t xml:space="preserve">.  </w:t>
      </w:r>
      <w:r>
        <w:rPr>
          <w:b/>
        </w:rPr>
        <w:t xml:space="preserve">Venue</w:t>
      </w:r>
    </w:p>
    <w:p>
      <w:pPr>
        <w:jc w:val="both"/>
        <w:spacing w:before="100" w:after="100"/>
        <w:ind w:start="360"/>
        <w:ind w:firstLine="360"/>
      </w:pPr>
      <w:r>
        <w:rPr/>
      </w:r>
      <w:r>
        <w:rPr/>
      </w:r>
      <w:r>
        <w:t xml:space="preserve">An action against a consumer arising from a consumer credit transaction shall be brought in any county or division of the consumer's residence, </w:t>
      </w:r>
      <w:r>
        <w:t>section 1‑201, subsection 6</w:t>
      </w:r>
      <w:r>
        <w:t xml:space="preserve">, in the county or division in which the transaction was made or where an interest in land secures the consumer's obligation, the action may be brought in the county or division in which the land or a part thereof is located. The consumer may have the action removed to the county or division of the consumer's current residence upon motion accompanied by an allegation of a claim or defense to the action. If the residence of the consumer is not within this State, the action may be brought in the county or division in which the sale, lease or loan was made.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§5-113.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§5-113.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§5-113.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