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5-104</w:t>
        <w:t xml:space="preserve">.  </w:t>
      </w:r>
      <w:r>
        <w:rPr>
          <w:b/>
        </w:rPr>
        <w:t xml:space="preserve">No garnishment before judgment</w:t>
      </w:r>
    </w:p>
    <w:p>
      <w:pPr>
        <w:jc w:val="both"/>
        <w:spacing w:before="100" w:after="100"/>
        <w:ind w:start="360"/>
        <w:ind w:firstLine="360"/>
      </w:pPr>
      <w:r>
        <w:rPr/>
      </w:r>
      <w:r>
        <w:rPr/>
      </w:r>
      <w:r>
        <w:t xml:space="preserve">Prior to entry of judgment in an action against the consumer for debt arising from a consumer credit transaction, the creditor may not obtain an interest in any property of the debtor by attachment, garnishment or like proceedings.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§5-104. No garnishment before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§5-104. NO GARNISHMENT BEFORE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