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§3-206. NOTICE TO COSIGNERS AND SIMILAR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