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w:t>
        <w:t xml:space="preserve">.  </w:t>
      </w:r>
      <w:r>
        <w:rPr>
          <w:b/>
        </w:rPr>
        <w:t xml:space="preserve">State Lottery Fund; appropriation of money</w:t>
      </w:r>
    </w:p>
    <w:p>
      <w:pPr>
        <w:jc w:val="both"/>
        <w:spacing w:before="100" w:after="100"/>
        <w:ind w:start="360"/>
        <w:ind w:firstLine="360"/>
      </w:pPr>
      <w:r>
        <w:rPr>
          <w:b/>
        </w:rPr>
        <w:t>1</w:t>
        <w:t xml:space="preserve">.  </w:t>
      </w:r>
      <w:r>
        <w:rPr>
          <w:b/>
        </w:rPr>
        <w:t xml:space="preserve">Appropriation.</w:t>
        <w:t xml:space="preserve"> </w:t>
      </w:r>
      <w:r>
        <w:t xml:space="preserve"> </w:t>
      </w:r>
      <w:r>
        <w:t xml:space="preserve">The money in the State Lottery Fund may be appropriated only:</w:t>
      </w:r>
    </w:p>
    <w:p>
      <w:pPr>
        <w:jc w:val="both"/>
        <w:spacing w:before="100" w:after="0"/>
        <w:ind w:start="720"/>
      </w:pPr>
      <w:r>
        <w:rPr/>
        <w:t>A</w:t>
        <w:t xml:space="preserve">.  </w:t>
      </w:r>
      <w:r>
        <w:rPr/>
      </w:r>
      <w:r>
        <w:t xml:space="preserve">For the payment of prizes to the holders of winning lottery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B</w:t>
        <w:t xml:space="preserve">.  </w:t>
      </w:r>
      <w:r>
        <w:rPr/>
      </w:r>
      <w:r>
        <w:t xml:space="preserve">For the expense of the division in its operation of the lottery;</w:t>
      </w:r>
      <w:r>
        <w:t xml:space="preserve">  </w:t>
      </w:r>
      <w:r xmlns:wp="http://schemas.openxmlformats.org/drawingml/2010/wordprocessingDrawing" xmlns:w15="http://schemas.microsoft.com/office/word/2012/wordml">
        <w:rPr>
          <w:rFonts w:ascii="Arial" w:hAnsi="Arial" w:cs="Arial"/>
          <w:sz w:val="22"/>
          <w:szCs w:val="22"/>
        </w:rPr>
        <w:t xml:space="preserve">[PL 1995, c. 494, §5 (AMD).]</w:t>
      </w:r>
    </w:p>
    <w:p>
      <w:pPr>
        <w:jc w:val="both"/>
        <w:spacing w:before="100" w:after="0"/>
        <w:ind w:start="720"/>
      </w:pPr>
      <w:r>
        <w:rPr/>
        <w:t>C</w:t>
        <w:t xml:space="preserve">.  </w:t>
      </w:r>
      <w:r>
        <w:rPr/>
      </w:r>
      <w:r>
        <w:t xml:space="preserve">For payment to the General Fund; and</w:t>
      </w:r>
      <w:r>
        <w:t xml:space="preserve">  </w:t>
      </w:r>
      <w:r xmlns:wp="http://schemas.openxmlformats.org/drawingml/2010/wordprocessingDrawing" xmlns:w15="http://schemas.microsoft.com/office/word/2012/wordml">
        <w:rPr>
          <w:rFonts w:ascii="Arial" w:hAnsi="Arial" w:cs="Arial"/>
          <w:sz w:val="22"/>
          <w:szCs w:val="22"/>
        </w:rPr>
        <w:t xml:space="preserve">[PL 1995, c. 494, §5 (AMD).]</w:t>
      </w:r>
    </w:p>
    <w:p>
      <w:pPr>
        <w:jc w:val="both"/>
        <w:spacing w:before="100" w:after="0"/>
        <w:ind w:start="720"/>
      </w:pPr>
      <w:r>
        <w:rPr/>
        <w:t>D</w:t>
        <w:t xml:space="preserve">.  </w:t>
      </w:r>
      <w:r>
        <w:rPr/>
      </w:r>
      <w:r>
        <w:t xml:space="preserve">For payment to the Maine Outdoor Heritage Fund pursuant to </w:t>
      </w:r>
      <w:r>
        <w:t>Title 12, section 10302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§18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§18 (AMD); PL 2003, c. 614, §9 (AFF).]</w:t>
      </w:r>
    </w:p>
    <w:p>
      <w:pPr>
        <w:jc w:val="both"/>
        <w:spacing w:before="100" w:after="0"/>
        <w:ind w:start="360"/>
        <w:ind w:firstLine="360"/>
      </w:pPr>
      <w:r>
        <w:rPr>
          <w:b/>
        </w:rPr>
        <w:t>2</w:t>
        <w:t xml:space="preserve">.  </w:t>
      </w:r>
      <w:r>
        <w:rPr>
          <w:b/>
        </w:rPr>
        <w:t xml:space="preserve">Apportionment.</w:t>
        <w:t xml:space="preserve"> </w:t>
      </w:r>
      <w:r>
        <w:t xml:space="preserve"> </w:t>
      </w:r>
      <w:r>
        <w:t xml:space="preserve">The money in the State Lottery Fund shall be apportioned so that not less than 45% of the total ticket sales received in the lottery will be disbursed as prizes to holders of winning tickets.  All other money, less reasonable costs for the proper administration of the State Lottery, shall be the State's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1995, c. 494, §5 (AMD). PL 2003, c. 414, §B18 (AMD).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§387. State Lottery Fund; appropriation of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 State Lottery Fund; appropriation of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§387. STATE LOTTERY FUND; APPROPRIATION OF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