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w:t>
        <w:t xml:space="preserve">.  </w:t>
      </w:r>
      <w:r>
        <w:rPr>
          <w:b/>
        </w:rPr>
        <w:t xml:space="preserve">Other laws; applicability</w:t>
      </w:r>
    </w:p>
    <w:p>
      <w:pPr>
        <w:jc w:val="both"/>
        <w:spacing w:before="100" w:after="100"/>
        <w:ind w:start="360"/>
        <w:ind w:firstLine="360"/>
      </w:pPr>
      <w:r>
        <w:rPr/>
      </w:r>
      <w:r>
        <w:rPr/>
      </w:r>
      <w:r>
        <w:t xml:space="preserve">No other law providing any penalty or disability for the sale of lottery tickets or any acts done in connection with a lottery applies to the sale of tickets or shares performed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§384. Other laws;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 Other laws;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§384. OTHER LAWS;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