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Alcoholic Beverages and Lottery Operations within the Department of Administrative and Financial Services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State Liquor and Lottery Commission established in </w:t>
      </w:r>
      <w:r>
        <w:t>Title 5, section 283‑A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association, corporation, limited liability company, limited partnership, limited liability partnership, partnership, club, trust, estate, society, company, receiver, trustee, assignee, referee or other person acting in a fiduciary or representative capacity, whether appointed by a court or otherwise, and any combination of individuals. "Person" means all departments, commissions, agencies and instrumentalities of the State, including counties and municipalities and agencies and instrumentalities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 (AMD).]</w:t>
      </w:r>
    </w:p>
    <w:p>
      <w:pPr>
        <w:jc w:val="both"/>
        <w:spacing w:before="100" w:after="0"/>
        <w:ind w:start="360"/>
        <w:ind w:firstLine="360"/>
      </w:pPr>
      <w:r>
        <w:rPr>
          <w:b/>
        </w:rPr>
        <w:t>6</w:t>
        <w:t xml:space="preserve">.  </w:t>
      </w:r>
      <w:r>
        <w:rPr>
          <w:b/>
        </w:rPr>
        <w:t xml:space="preserve">Agent.</w:t>
        <w:t xml:space="preserve"> </w:t>
      </w:r>
      <w:r>
        <w:t xml:space="preserve"> </w:t>
      </w:r>
      <w:r>
        <w:t xml:space="preserve">"Agent" means a person or that person's representative who has been licensed under this chapter to sell lottery tickets on behalf of the State from the physical premises of the licensee's retail business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780, §Y107 (AMD). PL 1997, c. 373, §5 (AMD). PL 2011, c. 310, §1 (AMD). PL 2011, c. 630, §1 (AMD). PL 2013, c. 352,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