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Alcoholic Beverages and Lottery Operations within the Department of Administrative and Financial Services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§107 (AMD).]</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State Liquor and Lottery Commission established in </w:t>
      </w:r>
      <w:r>
        <w:t>Title 5, section 283‑A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 (AMD).]</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§107 (AMD).]</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Alcoholic Beverages and Lottery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§107 (AMD).]</w:t>
      </w:r>
    </w:p>
    <w:p>
      <w:pPr>
        <w:jc w:val="both"/>
        <w:spacing w:before="100" w:after="0"/>
        <w:ind w:start="360"/>
        <w:ind w:firstLine="360"/>
      </w:pPr>
      <w:r>
        <w:rPr>
          <w:b/>
        </w:rPr>
        <w:t>4-A</w:t>
        <w:t xml:space="preserve">.  </w:t>
      </w:r>
      <w:r>
        <w:rPr>
          <w:b/>
        </w:rPr>
        <w:t xml:space="preserve">Electronic funds transfer.</w:t>
        <w:t xml:space="preserve"> </w:t>
      </w:r>
      <w:r>
        <w:t xml:space="preserve"> </w:t>
      </w:r>
      <w:r>
        <w:t xml:space="preserve">"Electronic funds transfer" means a transaction using an electronic device for the purpose of ordering, instructing or authorizing a financial institution to debit or credit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§1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association, corporation, limited liability company, limited partnership, limited liability partnership, partnership, club, trust, estate, society, company, receiver, trustee, assignee, referee or other person acting in a fiduciary or representative capacity, whether appointed by a court or otherwise, and any combination of individuals. "Person" means all departments, commissions, agencies and instrumentalities of the State, including counties and municipalities and agencies and instrumentalities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§1 (AMD).]</w:t>
      </w:r>
    </w:p>
    <w:p>
      <w:pPr>
        <w:jc w:val="both"/>
        <w:spacing w:before="100" w:after="0"/>
        <w:ind w:start="360"/>
        <w:ind w:firstLine="360"/>
      </w:pPr>
      <w:r>
        <w:rPr>
          <w:b/>
        </w:rPr>
        <w:t>6</w:t>
        <w:t xml:space="preserve">.  </w:t>
      </w:r>
      <w:r>
        <w:rPr>
          <w:b/>
        </w:rPr>
        <w:t xml:space="preserve">Agent.</w:t>
        <w:t xml:space="preserve"> </w:t>
      </w:r>
      <w:r>
        <w:t xml:space="preserve"> </w:t>
      </w:r>
      <w:r>
        <w:t xml:space="preserve">"Agent" means a person or that person's representative who has been licensed under this chapter to sell lottery tickets on behalf of the State from the physical premises of the licensee's retail business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780, §Y107 (AMD). PL 1997, c. 373, §5 (AMD). PL 2011, c. 310, §1 (AMD). PL 2011, c. 630, §1 (AMD). PL 2013, c. 352,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