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 Fireworks technician, proximate audience technician and flame effect technician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Fireworks technician, proximate audience technician and flame effect technician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§231. FIREWORKS TECHNICIAN, PROXIMATE AUDIENCE TECHNICIAN AND FLAME EFFECT TECHNICIAN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