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Pull Events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§98. PULL EVENTS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