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958</w:t>
        <w:t xml:space="preserve">.  </w:t>
      </w:r>
      <w:r>
        <w:rPr>
          <w:b/>
        </w:rPr>
        <w:t xml:space="preserve">Law enforcement officers</w:t>
      </w:r>
    </w:p>
    <w:p>
      <w:pPr>
        <w:jc w:val="both"/>
        <w:spacing w:before="100" w:after="100"/>
        <w:ind w:start="360"/>
        <w:ind w:firstLine="360"/>
      </w:pPr>
      <w:r>
        <w:rPr/>
      </w:r>
      <w:r>
        <w:rPr/>
      </w:r>
      <w:r>
        <w:t xml:space="preserve">In enforcing this Article, the commissioner or any other duly authorized representative shall be considered law enforcement officers only for purposes of service of process consistent with Title 17-A, section 17, subsection 1.</w:t>
      </w:r>
      <w:r>
        <w:t xml:space="preserve">  </w:t>
      </w:r>
      <w:r xmlns:wp="http://schemas.openxmlformats.org/drawingml/2010/wordprocessingDrawing" xmlns:w15="http://schemas.microsoft.com/office/word/2012/wordml">
        <w:rPr>
          <w:rFonts w:ascii="Arial" w:hAnsi="Arial" w:cs="Arial"/>
          <w:sz w:val="22"/>
          <w:szCs w:val="22"/>
        </w:rPr>
        <w:t xml:space="preserve">[PL 1979, c. 731,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§958. Law enforcement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§958. Law enforcement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§958. LAW ENFORCEMENT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