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§618. Publication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Publication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§618. PUBLICATION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