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Variance</w:t>
      </w:r>
    </w:p>
    <w:p>
      <w:pPr>
        <w:jc w:val="both"/>
        <w:spacing w:before="100" w:after="100"/>
        <w:ind w:start="360"/>
        <w:ind w:firstLine="360"/>
      </w:pPr>
      <w:r>
        <w:rPr/>
      </w:r>
      <w:r>
        <w:rPr/>
      </w:r>
      <w:r>
        <w:t xml:space="preserve">An owner of real estate may apply to the municipal zoning board of appeals or other municipal body hearing zoning appeals, or, in the case of areas within its jurisdiction, the Maine Land Use Planning Commission, for a variance permitting an inconsistent development upon or incompatible use of land that is otherwise prohibited under </w:t>
      </w:r>
      <w:r>
        <w:t>section 56</w:t>
      </w:r>
      <w:r>
        <w:t xml:space="preserve">.  Notwithstanding </w:t>
      </w:r>
      <w:r>
        <w:t>Title 30‑A, section 4353, subsection 4</w:t>
      </w:r>
      <w:r>
        <w:t xml:space="preserve">, a variance may be issued if adherence to </w:t>
      </w:r>
      <w:r>
        <w:t>section 56</w:t>
      </w:r>
      <w:r>
        <w:t xml:space="preserve"> renders a parcel of land subdivided prior to registration of the farmland unusable for residential purposes.  Any variance granted for such a purpose must be conditioned to provide the maximum feasible setback from the abutting registered farmland.</w:t>
      </w:r>
      <w:r>
        <w:t xml:space="preserve">  </w:t>
      </w:r>
      <w:r xmlns:wp="http://schemas.openxmlformats.org/drawingml/2010/wordprocessingDrawing" xmlns:w15="http://schemas.microsoft.com/office/word/2012/wordml">
        <w:rPr>
          <w:rFonts w:ascii="Arial" w:hAnsi="Arial" w:cs="Arial"/>
          <w:sz w:val="22"/>
          <w:szCs w:val="22"/>
        </w:rPr>
        <w:t xml:space="preserve">[PL 2011, c. 608, §16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§16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 Variance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Variance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§57. VARIANCE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