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53-D</w:t>
        <w:t xml:space="preserve">.  </w:t>
      </w:r>
      <w:r>
        <w:rPr>
          <w:b/>
        </w:rPr>
        <w:t xml:space="preserve">Notice of registration</w:t>
      </w:r>
    </w:p>
    <w:p>
      <w:pPr>
        <w:jc w:val="both"/>
        <w:spacing w:before="100" w:after="100"/>
        <w:ind w:start="360"/>
        <w:ind w:firstLine="360"/>
      </w:pPr>
      <w:r>
        <w:rPr/>
      </w:r>
      <w:r>
        <w:rPr/>
      </w:r>
      <w:r>
        <w:t xml:space="preserve">An owner registering land as farmland shall notify all abutting landowners, as indicated on municipal or state tax records, by sending to the abutting landowners a statement of registration provided by the department.  The owner shall send notification by certified mail, return receipt requested, within 2 days of submitting the registration in accordance with </w:t>
      </w:r>
      <w:r>
        <w:t>section 53‑B,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§53-D. Notice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§53-D. Notice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§53-D. NOTICE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