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w:t>
        <w:t xml:space="preserve">.  </w:t>
      </w:r>
      <w:r>
        <w:rPr>
          <w:b/>
        </w:rPr>
        <w:t xml:space="preserve">Manufacture and sale prohibited</w:t>
      </w:r>
    </w:p>
    <w:p>
      <w:pPr>
        <w:jc w:val="both"/>
        <w:spacing w:before="100" w:after="100"/>
        <w:ind w:start="360"/>
        <w:ind w:firstLine="360"/>
      </w:pPr>
      <w:r>
        <w:rPr/>
      </w:r>
      <w:r>
        <w:rPr/>
      </w:r>
      <w:r>
        <w:t xml:space="preserve">A person may not manufacture, sell, distribute, transport, offer or expose for sale, distribution or transportation any article of commercial feeding stuff, commercial fertilizer or food that is adulterated or misbranded within the meaning of this chapter or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§482. Manufacture and sale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 Manufacture and sale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§482. MANUFACTURE AND SALE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