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Rules</w:t>
      </w:r>
    </w:p>
    <w:p>
      <w:pPr>
        <w:jc w:val="both"/>
        <w:spacing w:before="100" w:after="100"/>
        <w:ind w:start="360"/>
        <w:ind w:firstLine="360"/>
      </w:pPr>
      <w:r>
        <w:rPr/>
      </w:r>
      <w:r>
        <w:rPr/>
      </w:r>
      <w:r>
        <w:t xml:space="preserve">The commissioner may prescribe, in a manner consistent with the Maine Administrative Procedure Act, rules for carrying out this subchapter, including the fixing of fees to be charged any individual, firm or organization requesting an inspection pursuant to </w:t>
      </w:r>
      <w:r>
        <w:t>section 446</w:t>
      </w:r>
      <w:r>
        <w:t xml:space="preserve"> or receiving an inspection pursuant to </w:t>
      </w:r>
      <w:r>
        <w:t>section 951</w:t>
      </w:r>
      <w:r>
        <w:t xml:space="preserve">.  These fees must, as nearly as possible, cover the costs of the inspection services for the commodity inspected.  All fees collected must be paid by the commissioner to the Treasurer of State and are appropriated for the purposes of this subchapter.  Any unexpended balance from the funds thus appropriated may not lapse, but must be carried forward to the same fund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1995,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§46 (AMD). PL 1979, c. 672, §A16 (RPR). PL 1995, c. 298,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