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3921-A</w:t>
        <w:t xml:space="preserve">.  </w:t>
      </w:r>
      <w:r>
        <w:rPr>
          <w:b/>
        </w:rPr>
        <w:t xml:space="preserve">Permanent identification of wolf hybrids</w:t>
      </w:r>
    </w:p>
    <w:p>
      <w:pPr>
        <w:jc w:val="both"/>
        <w:spacing w:before="100" w:after="100"/>
        <w:ind w:start="360"/>
        <w:ind w:firstLine="360"/>
      </w:pPr>
      <w:r>
        <w:rPr/>
      </w:r>
      <w:r>
        <w:rPr/>
      </w:r>
      <w:r>
        <w:t xml:space="preserve">The commissioner shall adopt rules to establish methods of identifying wolf hybrids through tattooing, the placement of a microchip under the animal's skin or any other method determined by the commissioner as adequately providing a permanent means of identification on the body of the animal.  Rules adopted pursuant to this section are routine technical rules as defined in </w:t>
      </w:r>
      <w:r>
        <w:t>Title 5, chapter 375, subchapter 2‑A</w:t>
      </w:r>
      <w:r>
        <w:t xml:space="preserve">.  A person may not own or keep a wolf hybrid under </w:t>
      </w:r>
      <w:r>
        <w:t>section 3921‑B, subsection 2</w:t>
      </w:r>
      <w:r>
        <w:t xml:space="preserve"> or under </w:t>
      </w:r>
      <w:r>
        <w:t>Title 12, section 12152</w:t>
      </w:r>
      <w:r>
        <w:t xml:space="preserve"> unless the animal has identification in compliance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§2 (NEW). PL 2011, c. 100,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§3921-A. Permanent identification of wolf hybrids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§3921-A. Permanent identification of wolf hybrids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§3921-A. PERMANENT IDENTIFICATION OF WOLF HYBRIDS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