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Agricultural Water Management and Irrigation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Agricultural Water Management and Irrigation Fund, referred to in this chapter as "the fund," is established as a nonlapsing fund in the Department of Agriculture, Conservation and Forestry.  The commissioner may accept money for the fund from any public or private source and make expenditures from the fund for the purpose of improving the use of irrigation in agriculture and the use of water resources in animal agriculture.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administer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commissioner shall adopt rules to carry out the purposes of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 shall submit an annual report on March 1st to the joint standing committee of the Legislature having jurisdiction over agricultural matters.  The report must include a summary of money available in the fund, the use of the fund and the status of agricultural irrigation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150, §2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§351. Agricultural Water Management and Irrigation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Agricultural Water Management and Irrigation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§351. AGRICULTURAL WATER MANAGEMENT AND IRRIGATION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