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Penalties</w:t>
      </w:r>
    </w:p>
    <w:p>
      <w:pPr>
        <w:jc w:val="both"/>
        <w:spacing w:before="100" w:after="100"/>
        <w:ind w:start="360"/>
        <w:ind w:firstLine="360"/>
      </w:pPr>
      <w:r>
        <w:rPr/>
      </w:r>
      <w:r>
        <w:rPr/>
      </w:r>
      <w:r>
        <w:t xml:space="preserve">Any person who fails to furnish reports required by the commissioner pursuant to </w:t>
      </w:r>
      <w:r>
        <w:t>section 3154</w:t>
      </w:r>
      <w:r>
        <w:t xml:space="preserve"> in a timely fashion shall be subject to the following civil penalties, to be collected by the commissioner in a civil action:</w:t>
      </w:r>
      <w:r>
        <w:t xml:space="preserve">  </w:t>
      </w:r>
      <w:r xmlns:wp="http://schemas.openxmlformats.org/drawingml/2010/wordprocessingDrawing" xmlns:w15="http://schemas.microsoft.com/office/word/2012/wordml">
        <w:rPr>
          <w:rFonts w:ascii="Arial" w:hAnsi="Arial" w:cs="Arial"/>
          <w:sz w:val="22"/>
          <w:szCs w:val="22"/>
        </w:rPr>
        <w:t xml:space="preserve">[PL 1983, c. 816, Pt. A, §1 (AMD).]</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within one year of the first violation, a civil penalty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r>
      <w:r>
        <w:rPr/>
      </w:r>
      <w:r>
        <w:t xml:space="preserve">Persons who violate any other rules promulgated under this chapter shall be subject to a civil penalty not to exceed $100 to be collected by the commissioner in a civil action.  All penalties collected by the commissioner shall be paid to the Treasurer of State for deposit to the General Fund. In addition to other available remedies, the commissioner may bring a civil action to collect any amounts owed to the Maine Milk Pool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447,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1983, c. 816, §A1 (AMD). PL 1987, c. 447,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