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2185</w:t>
        <w:t xml:space="preserve">.  </w:t>
      </w:r>
      <w:r>
        <w:rPr>
          <w:b/>
        </w:rPr>
        <w:t xml:space="preserve">Forms</w:t>
      </w:r>
    </w:p>
    <w:p>
      <w:pPr>
        <w:jc w:val="both"/>
        <w:spacing w:before="100" w:after="100"/>
        <w:ind w:start="360"/>
        <w:ind w:firstLine="360"/>
      </w:pPr>
      <w:r>
        <w:rPr/>
      </w:r>
      <w:r>
        <w:rPr/>
      </w:r>
      <w:r>
        <w:t xml:space="preserve">Each license issued consists of 2 parts:  a certificate that must be displayed at each place of business of the arborist and a license card that must be carried by the arborist when occupied in a business capacity.</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When the arborist conducts business at more than one address, additional certificates must be issued.  The department may not issue more than one license card to an individual qualified to receive a license, except as provided in </w:t>
      </w:r>
      <w:r>
        <w:t>section 2187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A license holder shall display the holder's license to and upon the request, at any time, of any client, other licensed arborist, law enforcement officer or employee of the department.</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§2185.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§2185.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§2185.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