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2179</w:t>
        <w:t xml:space="preserve">.  </w:t>
      </w:r>
      <w:r>
        <w:rPr>
          <w:b/>
        </w:rPr>
        <w:t xml:space="preserve">License required</w:t>
      </w:r>
    </w:p>
    <w:p>
      <w:pPr>
        <w:jc w:val="both"/>
        <w:spacing w:before="100" w:after="100"/>
        <w:ind w:start="360"/>
        <w:ind w:firstLine="360"/>
      </w:pPr>
      <w:r>
        <w:rPr/>
      </w:r>
      <w:r>
        <w:rPr/>
      </w:r>
      <w:r>
        <w:t xml:space="preserve">A person may not advertise, consult, solicit, contract or in any way engage for compensation in the business of an arborist, or make representation as being able to do so, without being licensed as an arborist.</w:t>
      </w:r>
      <w:r>
        <w:t xml:space="preserve">  </w:t>
      </w:r>
      <w:r xmlns:wp="http://schemas.openxmlformats.org/drawingml/2010/wordprocessingDrawing" xmlns:w15="http://schemas.microsoft.com/office/word/2012/wordml">
        <w:rPr>
          <w:rFonts w:ascii="Arial" w:hAnsi="Arial" w:cs="Arial"/>
          <w:sz w:val="22"/>
          <w:szCs w:val="22"/>
        </w:rPr>
        <w:t xml:space="preserve">[PL 2001, c. 299,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2001, c. 299,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§2179.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§2179.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§2179.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