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 Educational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Educational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§160. EDUCATIONAL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