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Application; municipal ordinances</w:t>
      </w:r>
    </w:p>
    <w:p>
      <w:pPr>
        <w:jc w:val="both"/>
        <w:spacing w:before="100" w:after="100"/>
        <w:ind w:start="360"/>
        <w:ind w:firstLine="360"/>
      </w:pPr>
      <w:r>
        <w:rPr/>
      </w:r>
      <w:r>
        <w:rPr/>
      </w:r>
      <w:r>
        <w:t xml:space="preserve">This chapter does not affect the application of state and federal laws.  A municipality must provide the commissioner with a copy of any proposed ordinance that affects farm operations or agricultural composting operations.  The clerk of the municipality or a municipal official designated by the clerk shall submit a copy of the proposed ordinance to the commissioner at least 90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r>
        <w:t xml:space="preserve">  </w:t>
      </w:r>
      <w:r xmlns:wp="http://schemas.openxmlformats.org/drawingml/2010/wordprocessingDrawing" xmlns:w15="http://schemas.microsoft.com/office/word/2012/wordml">
        <w:rPr>
          <w:rFonts w:ascii="Arial" w:hAnsi="Arial" w:cs="Arial"/>
          <w:sz w:val="22"/>
          <w:szCs w:val="22"/>
        </w:rPr>
        <w:t xml:space="preserve">[PL 2015, c. 145,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 Application;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Application;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§155. APPLICATION;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