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Assignment</w:t>
      </w:r>
    </w:p>
    <w:p>
      <w:pPr>
        <w:jc w:val="both"/>
        <w:spacing w:before="100" w:after="100"/>
        <w:ind w:start="360"/>
        <w:ind w:firstLine="360"/>
      </w:pPr>
      <w:r>
        <w:rPr/>
      </w:r>
      <w:r>
        <w:rPr/>
      </w:r>
      <w:r>
        <w:t xml:space="preserve">No provision that is inserted in any contract or other instrument that is prepared by a dealer or processor that makes an assignment of the dues or fair share fees described in </w:t>
      </w:r>
      <w:r>
        <w:t>section 1091‑A</w:t>
      </w:r>
      <w:r>
        <w:t xml:space="preserve"> ineffective is valid.</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w:pPr>
        <w:jc w:val="both"/>
        <w:spacing w:before="100" w:after="100"/>
        <w:ind w:start="360"/>
        <w:ind w:firstLine="360"/>
      </w:pPr>
      <w:r>
        <w:rPr/>
      </w:r>
      <w:r>
        <w:rPr/>
      </w:r>
      <w:r>
        <w:t xml:space="preserve">An assignment of dues or fair share fees may not exceed 1% of the total value of the product or services delivered by the member to the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§2 (AMD). PL 2003, c. 329,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§1092.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§1092.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