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531</w:t>
      </w:r>
    </w:p>
    <w:p>
      <w:pPr>
        <w:jc w:val="center"/>
        <w:ind w:start="360"/>
        <w:spacing w:before="300" w:after="300"/>
      </w:pPr>
      <w:r>
        <w:rPr>
          <w:b/>
        </w:rPr>
        <w:t xml:space="preserve">RULES AND VIOLATIONS</w:t>
      </w:r>
    </w:p>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531. RULES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531. RULES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531. RULES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