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05, c. 457, §GGG2 (AMD). PL 2011, c. 610, Pt. A, §1 (RP). PL 2011, c. 649,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