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Legislative findings and purpose</w:t>
      </w:r>
    </w:p>
    <w:p>
      <w:pPr>
        <w:jc w:val="both"/>
        <w:spacing w:before="100" w:after="100"/>
        <w:ind w:start="360"/>
        <w:ind w:firstLine="360"/>
      </w:pPr>
      <w:r>
        <w:rPr/>
      </w:r>
      <w:r>
        <w:rPr/>
      </w:r>
      <w:r>
        <w:t xml:space="preserve">The Legislature finds that alternative working hours, including part-time work, job sharing and more flexible work schedules will lead to greater efficiency by state employees. There are many qualified and talented Maine citizens of all ages whose personal responsibilities make it difficult to work full time or during the traditional hours of employment.</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