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90-P</w:t>
        <w:t xml:space="preserve">.  </w:t>
      </w:r>
      <w:r>
        <w:rPr>
          <w:b/>
        </w:rPr>
        <w:t xml:space="preserve">Special advocate; appointment and qualifications</w:t>
      </w:r>
    </w:p>
    <w:p>
      <w:pPr>
        <w:jc w:val="both"/>
        <w:spacing w:before="100" w:after="100"/>
        <w:ind w:start="360"/>
        <w:ind w:firstLine="360"/>
      </w:pPr>
      <w:r>
        <w:rPr/>
      </w:r>
      <w:r>
        <w:rPr/>
      </w:r>
      <w:r>
        <w:t xml:space="preserve">The Secretary of State shall appoint a special advocate to carry out the purposes of this subchapter.  The special advocate shall serve at the pleasure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304,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D,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§90-P. Special advocate; appointment and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§90-P. Special advocate; appointment and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§90-P. SPECIAL ADVOCATE; APPOINTMENT AND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