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Liability limited</w:t>
      </w:r>
    </w:p>
    <w:p>
      <w:pPr>
        <w:jc w:val="both"/>
        <w:spacing w:before="100" w:after="100"/>
        <w:ind w:start="360"/>
        <w:ind w:firstLine="360"/>
      </w:pPr>
      <w:r>
        <w:rPr/>
      </w:r>
      <w:r>
        <w:rPr/>
      </w:r>
      <w:r>
        <w:t xml:space="preserve">The State, any county, municipality or other political subdivision which transfers employee compensation to an individual retirement account shall have no liability for the funds once a proper transfer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§894. Liability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Liability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§894. LIABILITY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