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8064</w:t>
        <w:t xml:space="preserve">.  </w:t>
      </w:r>
      <w:r>
        <w:rPr>
          <w:b/>
        </w:rPr>
        <w:t xml:space="preserve">Limitation</w:t>
      </w:r>
    </w:p>
    <w:p>
      <w:pPr>
        <w:jc w:val="both"/>
        <w:spacing w:before="100" w:after="100"/>
        <w:ind w:start="360"/>
        <w:ind w:firstLine="360"/>
      </w:pPr>
      <w:r>
        <w:rPr/>
      </w:r>
      <w:r>
        <w:rPr/>
      </w:r>
      <w:r>
        <w:t xml:space="preserve">Except for emergency rules as provided in </w:t>
      </w:r>
      <w:r>
        <w:t>section 8060, subsection 6</w:t>
      </w:r>
      <w:r>
        <w:t xml:space="preserve">, an agency may not adopt any rule unless the agency has complied with the provisions in sections 8053‑A and </w:t>
      </w:r>
      <w:r>
        <w:t>8060</w:t>
      </w:r>
      <w:r>
        <w:t xml:space="preserve">, which include legislative review of the rule.  When an agency proposes a rule not in its current regulatory agenda, the agency must file an amendment to its agenda with the Legislature and Secretary of State under </w:t>
      </w:r>
      <w:r>
        <w:t>section 8053‑A</w:t>
      </w:r>
      <w:r>
        <w:t xml:space="preserve"> at the time of rule proposal.</w:t>
      </w:r>
      <w:r>
        <w:t xml:space="preserve">  </w:t>
      </w:r>
      <w:r xmlns:wp="http://schemas.openxmlformats.org/drawingml/2010/wordprocessingDrawing" xmlns:w15="http://schemas.microsoft.com/office/word/2012/wordml">
        <w:rPr>
          <w:rFonts w:ascii="Arial" w:hAnsi="Arial" w:cs="Arial"/>
          <w:sz w:val="22"/>
          <w:szCs w:val="22"/>
        </w:rPr>
        <w:t xml:space="preserve">[PL 1993, c. 362,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§2 (NEW). PL 1993, c. 362,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