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8061</w:t>
        <w:t xml:space="preserve">.  </w:t>
      </w:r>
      <w:r>
        <w:rPr>
          <w:b/>
        </w:rPr>
        <w:t xml:space="preserve">Style</w:t>
      </w:r>
    </w:p>
    <w:p>
      <w:pPr>
        <w:jc w:val="both"/>
        <w:spacing w:before="100" w:after="100"/>
        <w:ind w:start="360"/>
        <w:ind w:firstLine="360"/>
      </w:pPr>
      <w:r>
        <w:rPr/>
      </w:r>
      <w:r>
        <w:rPr/>
      </w:r>
      <w:r>
        <w:t xml:space="preserve">All rules and any other materials required by this subchapter to be provided to the public or to the Legislature shall, to the maximum extent feasible, use plain and clear English, which can readily be understood by the general public.  The use of technical language shall be avoided to the greatest possible extent.</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§8061. Style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§8061. Style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§8061. STYLE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