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Denial, suspension, revocation or other discipline of licensees because of criminal record</w:t>
      </w:r>
    </w:p>
    <w:p>
      <w:pPr>
        <w:jc w:val="both"/>
        <w:spacing w:before="100" w:after="0"/>
        <w:ind w:start="360"/>
        <w:ind w:firstLine="360"/>
      </w:pPr>
      <w:r>
        <w:rPr>
          <w:b/>
        </w:rPr>
        <w:t>1</w:t>
        <w:t xml:space="preserve">.  </w:t>
      </w:r>
      <w:r>
        <w:rPr>
          <w:b/>
        </w:rPr>
        <w:t xml:space="preserve">Reasons for disciplinary action.</w:t>
        <w:t xml:space="preserve"> </w:t>
      </w:r>
      <w:r>
        <w:t xml:space="preserve"> </w:t>
      </w:r>
      <w:r>
        <w:t xml:space="preserve">Licensing agencies may refuse to grant or renew, or may suspend, revoke or take other disciplinary action against any occupational license, registration or permit on the basis of the criminal history record information relating to convictions denominated in </w:t>
      </w:r>
      <w:r>
        <w:t>section 5301, subsection 2</w:t>
      </w:r>
      <w:r>
        <w:t xml:space="preserve">, but only if the licensing agency determines that the applicant, licensee, registrant or permit holder so convicted has not been sufficiently rehabilitated to warrant the public trust.  The applicant, licensee, registrant or permit holder shall bear the burden of proof that there exists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w:pPr>
        <w:jc w:val="both"/>
        <w:spacing w:before="100" w:after="0"/>
        <w:ind w:start="360"/>
        <w:ind w:firstLine="360"/>
      </w:pPr>
      <w:r>
        <w:rPr>
          <w:b/>
        </w:rPr>
        <w:t>2</w:t>
        <w:t xml:space="preserve">.  </w:t>
      </w:r>
      <w:r>
        <w:rPr>
          <w:b/>
        </w:rPr>
        <w:t xml:space="preserve">Reasons to be stated in writing.</w:t>
        <w:t xml:space="preserve"> </w:t>
      </w:r>
      <w:r>
        <w:t xml:space="preserve"> </w:t>
      </w:r>
      <w:r>
        <w:t xml:space="preserve">The licensing agency shall explicitly state in writing the reasons for a decision which prohibits the applicant, licensee, registrant or permit holder from practicing the profession, trade or occupation if that decision is based in whole or in part on conviction of any crime described in </w:t>
      </w:r>
      <w:r>
        <w:t>section 5301,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§§2,3 (AMD). PL 1989, c. 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§5302. Denial, suspension, revocation or other discipline of licensees because of criminal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Denial, suspension, revocation or other discipline of licensees because of criminal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§5302. DENIAL, SUSPENSION, REVOCATION OR OTHER DISCIPLINE OF LICENSEES BECAUSE OF CRIMINAL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