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Eligibility</w:t>
      </w:r>
    </w:p>
    <w:p>
      <w:pPr>
        <w:jc w:val="both"/>
        <w:spacing w:before="100" w:after="100"/>
        <w:ind w:start="360"/>
        <w:ind w:firstLine="360"/>
      </w:pPr>
      <w:r>
        <w:rPr/>
      </w:r>
      <w:r>
        <w:rPr/>
      </w:r>
      <w:r>
        <w:t xml:space="preserve">To be eligible to participate in the program, a student must:</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College.</w:t>
        <w:t xml:space="preserve"> </w:t>
      </w:r>
      <w:r>
        <w:t xml:space="preserve"> </w:t>
      </w:r>
      <w:r>
        <w:t xml:space="preserve">Have completed at least 2 years of college or have graduated from college within the past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Residence.</w:t>
        <w:t xml:space="preserve"> </w:t>
      </w:r>
      <w:r>
        <w:t xml:space="preserve"> </w:t>
      </w:r>
      <w:r>
        <w:t xml:space="preserve">Be a state resident or attend a college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