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program intern in a position of some responsibility where the intern can contribute ideas, enthusiasm and ingenuity while completing a project under the direction of a responsible county or local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liaisons between county and local governments and the various institutions of higher learning located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program and for attracting college graduates with outstanding potential into permanent positions of employment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